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A7686E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  <w:r w:rsidR="004C76B6">
        <w:rPr>
          <w:rFonts w:ascii="Arial" w:hAnsi="Arial" w:cs="Arial"/>
          <w:b/>
          <w:sz w:val="20"/>
          <w:szCs w:val="20"/>
        </w:rPr>
        <w:t xml:space="preserve"> </w:t>
      </w:r>
      <w:r w:rsidR="00477CBB">
        <w:rPr>
          <w:rFonts w:ascii="Arial" w:hAnsi="Arial" w:cs="Arial"/>
          <w:b/>
          <w:sz w:val="20"/>
          <w:szCs w:val="20"/>
        </w:rPr>
        <w:t xml:space="preserve">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7686E">
        <w:rPr>
          <w:rFonts w:ascii="Arial" w:hAnsi="Arial" w:cs="Arial"/>
          <w:sz w:val="20"/>
          <w:szCs w:val="20"/>
        </w:rPr>
        <w:t>29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</w:t>
      </w:r>
      <w:r w:rsidR="00A7686E">
        <w:rPr>
          <w:rFonts w:ascii="Arial" w:hAnsi="Arial" w:cs="Arial"/>
          <w:sz w:val="20"/>
          <w:szCs w:val="20"/>
        </w:rPr>
        <w:t>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7686E" w:rsidRPr="00A7686E">
        <w:rPr>
          <w:rFonts w:ascii="Arial" w:hAnsi="Arial" w:cs="Arial"/>
          <w:sz w:val="20"/>
          <w:szCs w:val="20"/>
        </w:rPr>
        <w:t>Son La Water Supply Joint Stock Company</w:t>
      </w:r>
      <w:r w:rsidR="00A7686E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7686E">
        <w:rPr>
          <w:rFonts w:ascii="Arial" w:hAnsi="Arial" w:cs="Arial"/>
          <w:sz w:val="20"/>
          <w:szCs w:val="20"/>
        </w:rPr>
        <w:t>annual General Mandate 2020</w:t>
      </w:r>
      <w:r w:rsidR="004C76B6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7686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A7686E">
        <w:rPr>
          <w:rFonts w:ascii="Arial" w:hAnsi="Arial" w:cs="Arial"/>
          <w:sz w:val="20"/>
          <w:szCs w:val="20"/>
        </w:rPr>
        <w:t xml:space="preserve"> of Son La Water Supply Joint Stock Company </w:t>
      </w:r>
      <w:r>
        <w:rPr>
          <w:rFonts w:ascii="Arial" w:hAnsi="Arial" w:cs="Arial"/>
          <w:sz w:val="20"/>
          <w:szCs w:val="20"/>
        </w:rPr>
        <w:t>approved</w:t>
      </w:r>
      <w:r w:rsidRPr="00A7686E">
        <w:rPr>
          <w:rFonts w:ascii="Arial" w:hAnsi="Arial" w:cs="Arial"/>
          <w:sz w:val="20"/>
          <w:szCs w:val="20"/>
        </w:rPr>
        <w:t xml:space="preserve"> the following contents: 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86E">
        <w:rPr>
          <w:rFonts w:ascii="Arial" w:hAnsi="Arial" w:cs="Arial"/>
          <w:sz w:val="20"/>
          <w:szCs w:val="20"/>
        </w:rPr>
        <w:t>1. Report of the Board of Directors on performance of tasks in 20</w:t>
      </w:r>
      <w:r>
        <w:rPr>
          <w:rFonts w:ascii="Arial" w:hAnsi="Arial" w:cs="Arial"/>
          <w:sz w:val="20"/>
          <w:szCs w:val="20"/>
        </w:rPr>
        <w:t>19 and operation orientation for</w:t>
      </w:r>
      <w:r w:rsidRPr="00A7686E">
        <w:rPr>
          <w:rFonts w:ascii="Arial" w:hAnsi="Arial" w:cs="Arial"/>
          <w:sz w:val="20"/>
          <w:szCs w:val="20"/>
        </w:rPr>
        <w:t xml:space="preserve"> 2020  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86E">
        <w:rPr>
          <w:rFonts w:ascii="Arial" w:hAnsi="Arial" w:cs="Arial"/>
          <w:sz w:val="20"/>
          <w:szCs w:val="20"/>
        </w:rPr>
        <w:t xml:space="preserve">2. Report of the </w:t>
      </w:r>
      <w:r>
        <w:rPr>
          <w:rFonts w:ascii="Arial" w:hAnsi="Arial" w:cs="Arial"/>
          <w:sz w:val="20"/>
          <w:szCs w:val="20"/>
        </w:rPr>
        <w:t>Supervisor Board</w:t>
      </w:r>
      <w:r w:rsidRPr="00A7686E">
        <w:rPr>
          <w:rFonts w:ascii="Arial" w:hAnsi="Arial" w:cs="Arial"/>
          <w:sz w:val="20"/>
          <w:szCs w:val="20"/>
        </w:rPr>
        <w:t xml:space="preserve"> on performance of t</w:t>
      </w:r>
      <w:r>
        <w:rPr>
          <w:rFonts w:ascii="Arial" w:hAnsi="Arial" w:cs="Arial"/>
          <w:sz w:val="20"/>
          <w:szCs w:val="20"/>
        </w:rPr>
        <w:t>asks in 2019 and work direction for 2020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86E">
        <w:rPr>
          <w:rFonts w:ascii="Arial" w:hAnsi="Arial" w:cs="Arial"/>
          <w:sz w:val="20"/>
          <w:szCs w:val="20"/>
        </w:rPr>
        <w:t xml:space="preserve">3.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A7686E">
        <w:rPr>
          <w:rFonts w:ascii="Arial" w:hAnsi="Arial" w:cs="Arial"/>
          <w:sz w:val="20"/>
          <w:szCs w:val="20"/>
        </w:rPr>
        <w:t xml:space="preserve"> on the results of production and business ac</w:t>
      </w:r>
      <w:r>
        <w:rPr>
          <w:rFonts w:ascii="Arial" w:hAnsi="Arial" w:cs="Arial"/>
          <w:sz w:val="20"/>
          <w:szCs w:val="20"/>
        </w:rPr>
        <w:t>tivities in 2019 and the plan on</w:t>
      </w:r>
      <w:r w:rsidRPr="00A7686E">
        <w:rPr>
          <w:rFonts w:ascii="Arial" w:hAnsi="Arial" w:cs="Arial"/>
          <w:sz w:val="20"/>
          <w:szCs w:val="20"/>
        </w:rPr>
        <w:t xml:space="preserve"> produ</w:t>
      </w:r>
      <w:r>
        <w:rPr>
          <w:rFonts w:ascii="Arial" w:hAnsi="Arial" w:cs="Arial"/>
          <w:sz w:val="20"/>
          <w:szCs w:val="20"/>
        </w:rPr>
        <w:t xml:space="preserve">ction and business in the year of </w:t>
      </w:r>
      <w:r w:rsidRPr="00A7686E">
        <w:rPr>
          <w:rFonts w:ascii="Arial" w:hAnsi="Arial" w:cs="Arial"/>
          <w:sz w:val="20"/>
          <w:szCs w:val="20"/>
        </w:rPr>
        <w:t xml:space="preserve">2020 of </w:t>
      </w:r>
      <w:r>
        <w:rPr>
          <w:rFonts w:ascii="Arial" w:hAnsi="Arial" w:cs="Arial"/>
          <w:sz w:val="20"/>
          <w:szCs w:val="20"/>
        </w:rPr>
        <w:t>the Company.</w:t>
      </w:r>
      <w:r w:rsidRPr="00A7686E">
        <w:rPr>
          <w:rFonts w:ascii="Arial" w:hAnsi="Arial" w:cs="Arial"/>
          <w:sz w:val="20"/>
          <w:szCs w:val="20"/>
        </w:rPr>
        <w:t xml:space="preserve"> The main targets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1916"/>
      </w:tblGrid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2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Commercial water output</w:t>
            </w:r>
          </w:p>
        </w:tc>
        <w:tc>
          <w:tcPr>
            <w:tcW w:w="1915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10,622,457</w:t>
            </w:r>
          </w:p>
        </w:tc>
        <w:tc>
          <w:tcPr>
            <w:tcW w:w="1916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10,714,000</w:t>
            </w:r>
          </w:p>
        </w:tc>
      </w:tr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128,483,806,045</w:t>
            </w:r>
          </w:p>
        </w:tc>
        <w:tc>
          <w:tcPr>
            <w:tcW w:w="1916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</w:t>
            </w:r>
            <w:r w:rsidR="00A7686E" w:rsidRPr="00A7686E">
              <w:rPr>
                <w:rFonts w:ascii="Arial" w:hAnsi="Arial" w:cs="Arial"/>
                <w:sz w:val="20"/>
                <w:szCs w:val="20"/>
              </w:rPr>
              <w:t>025,000,000</w:t>
            </w:r>
          </w:p>
        </w:tc>
      </w:tr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Total payroll</w:t>
            </w:r>
          </w:p>
        </w:tc>
        <w:tc>
          <w:tcPr>
            <w:tcW w:w="1915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28,122,097,100</w:t>
            </w:r>
          </w:p>
        </w:tc>
        <w:tc>
          <w:tcPr>
            <w:tcW w:w="1916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30,540,000,000</w:t>
            </w:r>
          </w:p>
        </w:tc>
      </w:tr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2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15,875,060,972</w:t>
            </w:r>
          </w:p>
        </w:tc>
        <w:tc>
          <w:tcPr>
            <w:tcW w:w="1916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17,391,000,</w:t>
            </w:r>
            <w:r w:rsidR="00A7686E" w:rsidRPr="00A7686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A7686E" w:rsidTr="00A7686E">
        <w:tc>
          <w:tcPr>
            <w:tcW w:w="648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</w:tcPr>
          <w:p w:rsidR="00A7686E" w:rsidRDefault="00C100C2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Dividend/</w:t>
            </w:r>
            <w:r w:rsidR="00A7686E" w:rsidRPr="00A7686E"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1915" w:type="dxa"/>
          </w:tcPr>
          <w:p w:rsidR="00A7686E" w:rsidRDefault="001C232B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5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916" w:type="dxa"/>
          </w:tcPr>
          <w:p w:rsidR="00A7686E" w:rsidRDefault="00A7686E" w:rsidP="00A768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86E">
              <w:rPr>
                <w:rFonts w:ascii="Arial" w:hAnsi="Arial" w:cs="Arial"/>
                <w:sz w:val="20"/>
                <w:szCs w:val="20"/>
              </w:rPr>
              <w:t>Minimum 10</w:t>
            </w:r>
          </w:p>
        </w:tc>
      </w:tr>
    </w:tbl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86E" w:rsidRDefault="001C232B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Approve the plan on</w:t>
      </w:r>
      <w:r w:rsidR="00A7686E" w:rsidRPr="00A7686E">
        <w:rPr>
          <w:rFonts w:ascii="Arial" w:hAnsi="Arial" w:cs="Arial"/>
          <w:sz w:val="20"/>
          <w:szCs w:val="20"/>
        </w:rPr>
        <w:t xml:space="preserve"> 2019 profit distribution and funds 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686E">
        <w:rPr>
          <w:rFonts w:ascii="Arial" w:hAnsi="Arial" w:cs="Arial"/>
          <w:sz w:val="20"/>
          <w:szCs w:val="20"/>
        </w:rPr>
        <w:t>5. Approve total remuneration of members of the Board of Directors and the Supervisory Board in 2019 and the plan for</w:t>
      </w:r>
      <w:r>
        <w:rPr>
          <w:rFonts w:ascii="Arial" w:hAnsi="Arial" w:cs="Arial"/>
          <w:sz w:val="20"/>
          <w:szCs w:val="20"/>
        </w:rPr>
        <w:t xml:space="preserve"> total remuneration in 2020</w:t>
      </w:r>
    </w:p>
    <w:p w:rsidR="00A7686E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A7686E">
        <w:rPr>
          <w:rFonts w:ascii="Arial" w:hAnsi="Arial" w:cs="Arial"/>
          <w:sz w:val="20"/>
          <w:szCs w:val="20"/>
        </w:rPr>
        <w:t xml:space="preserve"> </w:t>
      </w:r>
      <w:r w:rsidR="001C232B">
        <w:rPr>
          <w:rFonts w:ascii="Arial" w:hAnsi="Arial" w:cs="Arial"/>
          <w:sz w:val="20"/>
          <w:szCs w:val="20"/>
        </w:rPr>
        <w:t xml:space="preserve">Approve selecting an auditing unit </w:t>
      </w:r>
      <w:r w:rsidRPr="00A7686E">
        <w:rPr>
          <w:rFonts w:ascii="Arial" w:hAnsi="Arial" w:cs="Arial"/>
          <w:sz w:val="20"/>
          <w:szCs w:val="20"/>
        </w:rPr>
        <w:t xml:space="preserve">for the fiscal year 2020 </w:t>
      </w:r>
    </w:p>
    <w:p w:rsidR="001C232B" w:rsidRDefault="00A7686E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A7686E">
        <w:rPr>
          <w:rFonts w:ascii="Arial" w:hAnsi="Arial" w:cs="Arial"/>
          <w:sz w:val="20"/>
          <w:szCs w:val="20"/>
        </w:rPr>
        <w:t>This Resolutio</w:t>
      </w:r>
      <w:r w:rsidR="001C232B">
        <w:rPr>
          <w:rFonts w:ascii="Arial" w:hAnsi="Arial" w:cs="Arial"/>
          <w:sz w:val="20"/>
          <w:szCs w:val="20"/>
        </w:rPr>
        <w:t>n takes effect on June 29, 2020</w:t>
      </w:r>
    </w:p>
    <w:p w:rsidR="001C232B" w:rsidRDefault="001C232B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7686E" w:rsidRPr="00A7686E">
        <w:rPr>
          <w:rFonts w:ascii="Arial" w:hAnsi="Arial" w:cs="Arial"/>
          <w:sz w:val="20"/>
          <w:szCs w:val="20"/>
        </w:rPr>
        <w:t xml:space="preserve">he Board of Directors is responsible for announcing the </w:t>
      </w:r>
      <w:r>
        <w:rPr>
          <w:rFonts w:ascii="Arial" w:hAnsi="Arial" w:cs="Arial"/>
          <w:sz w:val="20"/>
          <w:szCs w:val="20"/>
        </w:rPr>
        <w:t>General Mandate</w:t>
      </w:r>
      <w:r w:rsidR="00A7686E" w:rsidRPr="00A7686E">
        <w:rPr>
          <w:rFonts w:ascii="Arial" w:hAnsi="Arial" w:cs="Arial"/>
          <w:sz w:val="20"/>
          <w:szCs w:val="20"/>
        </w:rPr>
        <w:t xml:space="preserve"> 2020 and posting on the Website of Son La Water Supply Joint Stock Company (capnuocsonla</w:t>
      </w:r>
      <w:r>
        <w:rPr>
          <w:rFonts w:ascii="Arial" w:hAnsi="Arial" w:cs="Arial"/>
          <w:sz w:val="20"/>
          <w:szCs w:val="20"/>
        </w:rPr>
        <w:t>.vn) in accordance with the law on information disclosure</w:t>
      </w:r>
    </w:p>
    <w:p w:rsidR="00A7686E" w:rsidRPr="00A7686E" w:rsidRDefault="001C232B" w:rsidP="00A768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A7686E" w:rsidRPr="00A7686E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="00A7686E" w:rsidRPr="00A7686E">
        <w:rPr>
          <w:rFonts w:ascii="Arial" w:hAnsi="Arial" w:cs="Arial"/>
          <w:sz w:val="20"/>
          <w:szCs w:val="20"/>
        </w:rPr>
        <w:t xml:space="preserve"> and all shareholders of Son La W</w:t>
      </w:r>
      <w:r>
        <w:rPr>
          <w:rFonts w:ascii="Arial" w:hAnsi="Arial" w:cs="Arial"/>
          <w:sz w:val="20"/>
          <w:szCs w:val="20"/>
        </w:rPr>
        <w:t>ater Supply Joint Stock Company are responsible for implementing this Gener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al Mandate </w:t>
      </w:r>
    </w:p>
    <w:sectPr w:rsidR="00A7686E" w:rsidRPr="00A7686E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232B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7686E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00C2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16E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398</cp:revision>
  <dcterms:created xsi:type="dcterms:W3CDTF">2019-10-16T10:03:00Z</dcterms:created>
  <dcterms:modified xsi:type="dcterms:W3CDTF">2020-07-27T07:14:00Z</dcterms:modified>
</cp:coreProperties>
</file>